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4C96" w14:textId="77777777" w:rsidR="00DB6F12" w:rsidRPr="00987A26" w:rsidRDefault="00DB6F12" w:rsidP="00DB6F12">
      <w:pPr>
        <w:jc w:val="center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Załącznik Nr 2 do Regulaminu ZFŚS ustalony w porozumieniu ze Związkami Zawodowymi w UPH </w:t>
      </w:r>
      <w:r>
        <w:rPr>
          <w:rFonts w:ascii="Arial" w:hAnsi="Arial" w:cs="Arial"/>
          <w:sz w:val="18"/>
          <w:szCs w:val="16"/>
        </w:rPr>
        <w:br/>
      </w:r>
      <w:r w:rsidR="00341C1A">
        <w:rPr>
          <w:rFonts w:ascii="Arial" w:hAnsi="Arial" w:cs="Arial"/>
          <w:sz w:val="18"/>
          <w:szCs w:val="16"/>
        </w:rPr>
        <w:t xml:space="preserve">w </w:t>
      </w:r>
      <w:r>
        <w:rPr>
          <w:rFonts w:ascii="Arial" w:hAnsi="Arial" w:cs="Arial"/>
          <w:sz w:val="18"/>
          <w:szCs w:val="16"/>
        </w:rPr>
        <w:t>dni</w:t>
      </w:r>
      <w:r w:rsidR="00341C1A">
        <w:rPr>
          <w:rFonts w:ascii="Arial" w:hAnsi="Arial" w:cs="Arial"/>
          <w:sz w:val="18"/>
          <w:szCs w:val="16"/>
        </w:rPr>
        <w:t>u</w:t>
      </w:r>
      <w:r>
        <w:rPr>
          <w:rFonts w:ascii="Arial" w:hAnsi="Arial" w:cs="Arial"/>
          <w:sz w:val="18"/>
          <w:szCs w:val="16"/>
        </w:rPr>
        <w:t xml:space="preserve"> </w:t>
      </w:r>
      <w:r w:rsidR="00341C1A">
        <w:rPr>
          <w:rFonts w:ascii="Arial" w:hAnsi="Arial" w:cs="Arial"/>
          <w:sz w:val="18"/>
          <w:szCs w:val="16"/>
        </w:rPr>
        <w:t>09.05</w:t>
      </w:r>
      <w:r>
        <w:rPr>
          <w:rFonts w:ascii="Arial" w:hAnsi="Arial" w:cs="Arial"/>
          <w:sz w:val="18"/>
          <w:szCs w:val="16"/>
        </w:rPr>
        <w:t>.2022 r.</w:t>
      </w:r>
    </w:p>
    <w:p w14:paraId="639214D2" w14:textId="77777777" w:rsidR="00C56E14" w:rsidRDefault="00C56E14" w:rsidP="00C56E14">
      <w:pPr>
        <w:pStyle w:val="Tekstpodstawowy2"/>
        <w:rPr>
          <w:rFonts w:ascii="Arial" w:hAnsi="Arial" w:cs="Arial"/>
          <w:b/>
          <w:sz w:val="20"/>
        </w:rPr>
      </w:pPr>
    </w:p>
    <w:p w14:paraId="76359F91" w14:textId="77777777" w:rsidR="000B3520" w:rsidRDefault="000B3520" w:rsidP="000B3520">
      <w:pPr>
        <w:ind w:left="6372" w:firstLine="708"/>
        <w:rPr>
          <w:rFonts w:ascii="Arial" w:hAnsi="Arial" w:cs="Arial"/>
          <w:b/>
          <w:sz w:val="22"/>
        </w:rPr>
      </w:pPr>
    </w:p>
    <w:p w14:paraId="0237715F" w14:textId="77777777" w:rsidR="000B3520" w:rsidRDefault="000B3520" w:rsidP="000B3520">
      <w:pPr>
        <w:ind w:left="6372" w:firstLine="708"/>
        <w:rPr>
          <w:rFonts w:ascii="Arial" w:hAnsi="Arial" w:cs="Arial"/>
          <w:b/>
          <w:sz w:val="22"/>
        </w:rPr>
      </w:pPr>
    </w:p>
    <w:p w14:paraId="2404E802" w14:textId="77777777" w:rsidR="000B3520" w:rsidRDefault="000B3520" w:rsidP="000B3520">
      <w:pPr>
        <w:pStyle w:val="Tekstpodstawowy2"/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Tabela wysokości pożyczek na cele mieszkaniowe   </w:t>
      </w:r>
    </w:p>
    <w:p w14:paraId="6B456BCB" w14:textId="77777777" w:rsidR="000B3520" w:rsidRDefault="000B3520" w:rsidP="000B3520">
      <w:pPr>
        <w:pStyle w:val="Tekstpodstawowy2"/>
        <w:spacing w:line="24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z Zakładowego Funduszu Świadczeń Socjalnych</w:t>
      </w:r>
    </w:p>
    <w:p w14:paraId="61453E22" w14:textId="77777777" w:rsidR="000B3520" w:rsidRDefault="000B3520" w:rsidP="000B3520">
      <w:pPr>
        <w:pStyle w:val="Tekstpodstawowy2"/>
        <w:spacing w:line="240" w:lineRule="auto"/>
        <w:jc w:val="center"/>
        <w:rPr>
          <w:rFonts w:ascii="Arial" w:hAnsi="Arial" w:cs="Arial"/>
          <w:sz w:val="32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4344"/>
      </w:tblGrid>
      <w:tr w:rsidR="000B3520" w14:paraId="77C7CE7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86D9411" w14:textId="77777777" w:rsidR="000B3520" w:rsidRDefault="000B3520" w:rsidP="000B3520">
            <w:pPr>
              <w:ind w:right="-1345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14:paraId="5ED6115D" w14:textId="77777777" w:rsidR="000B3520" w:rsidRDefault="000B3520" w:rsidP="000B3520">
            <w:pPr>
              <w:ind w:right="-85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14:paraId="5564F7AC" w14:textId="77777777" w:rsidR="000B3520" w:rsidRDefault="000B3520" w:rsidP="000B3520">
            <w:pPr>
              <w:ind w:right="-85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pożyczki</w:t>
            </w:r>
          </w:p>
          <w:p w14:paraId="1D7E67FD" w14:textId="77777777" w:rsidR="000B3520" w:rsidRDefault="000B3520" w:rsidP="000B3520">
            <w:pPr>
              <w:ind w:right="-851"/>
              <w:rPr>
                <w:rFonts w:ascii="Arial" w:hAnsi="Arial" w:cs="Arial"/>
                <w:b/>
              </w:rPr>
            </w:pPr>
          </w:p>
        </w:tc>
        <w:tc>
          <w:tcPr>
            <w:tcW w:w="43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5681AF9" w14:textId="77777777" w:rsidR="000B3520" w:rsidRDefault="000B3520" w:rsidP="000B3520">
            <w:pPr>
              <w:ind w:right="-85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</w:p>
          <w:p w14:paraId="55DF6F90" w14:textId="77777777" w:rsidR="000B3520" w:rsidRDefault="000B3520" w:rsidP="000B3520">
            <w:pPr>
              <w:ind w:left="-406" w:right="-851" w:firstLine="40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Wysokość pożyczki</w:t>
            </w:r>
          </w:p>
        </w:tc>
      </w:tr>
      <w:tr w:rsidR="000B3520" w14:paraId="166B14D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496FD2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6753A008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14:paraId="0E2F3D75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45557038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Budowa domu jednorodzinnego lub  lokalu </w:t>
            </w:r>
          </w:p>
          <w:p w14:paraId="79BEEF74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mieszkalnego w domu wielorodzinnym</w:t>
            </w:r>
          </w:p>
          <w:p w14:paraId="2CF5308D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55544AFE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</w:tc>
        <w:tc>
          <w:tcPr>
            <w:tcW w:w="43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DCDCDD7" w14:textId="77777777" w:rsidR="000B3520" w:rsidRDefault="000B3520" w:rsidP="000B3520">
            <w:pPr>
              <w:ind w:right="-851"/>
              <w:rPr>
                <w:rFonts w:ascii="Arial" w:hAnsi="Arial" w:cs="Arial"/>
              </w:rPr>
            </w:pPr>
          </w:p>
          <w:p w14:paraId="7B5E633B" w14:textId="77777777" w:rsidR="000B3520" w:rsidRDefault="000B3520" w:rsidP="000B3520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do 25 % wartości kosztorysowej,</w:t>
            </w:r>
          </w:p>
          <w:p w14:paraId="6F11BC20" w14:textId="77777777" w:rsidR="000B3520" w:rsidRDefault="000B3520" w:rsidP="002E1DE1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   nie więcej niż   4</w:t>
            </w:r>
            <w:r w:rsidR="002E1DE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.000 zł</w:t>
            </w:r>
          </w:p>
        </w:tc>
      </w:tr>
      <w:tr w:rsidR="000B3520" w14:paraId="24D55455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50AF6F0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30B01A93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14:paraId="6EF83485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4303B838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Zakup lokalu  mieszkalnego w domu wielorodzinnym</w:t>
            </w:r>
          </w:p>
          <w:p w14:paraId="00BF1763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lub domu jednorodzinnego</w:t>
            </w:r>
          </w:p>
          <w:p w14:paraId="3DF0D8AD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</w:tc>
        <w:tc>
          <w:tcPr>
            <w:tcW w:w="43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BB54907" w14:textId="77777777" w:rsidR="000B3520" w:rsidRDefault="000B3520" w:rsidP="000B3520">
            <w:pPr>
              <w:ind w:right="-851"/>
              <w:rPr>
                <w:rFonts w:ascii="Arial" w:hAnsi="Arial" w:cs="Arial"/>
              </w:rPr>
            </w:pPr>
          </w:p>
          <w:p w14:paraId="54BF713A" w14:textId="77777777" w:rsidR="000B3520" w:rsidRDefault="000B3520" w:rsidP="000B3520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do 25 % wartości lokalu mieszkalnego,</w:t>
            </w:r>
          </w:p>
          <w:p w14:paraId="4F67962F" w14:textId="77777777" w:rsidR="000B3520" w:rsidRDefault="000B3520" w:rsidP="000B3520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nie więcej niż   4</w:t>
            </w:r>
            <w:r w:rsidR="002E1DE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.000 zł</w:t>
            </w:r>
          </w:p>
          <w:p w14:paraId="53F97A4A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</w:tc>
      </w:tr>
      <w:tr w:rsidR="000B3520" w14:paraId="3F6BF83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711067D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5332B96F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3. 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14:paraId="5C00B0DD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218DEA73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Nadbudowę i rozbudowę domu jednorodzinnego</w:t>
            </w:r>
          </w:p>
          <w:p w14:paraId="5C680149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</w:tc>
        <w:tc>
          <w:tcPr>
            <w:tcW w:w="43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D06409D" w14:textId="77777777" w:rsidR="000B3520" w:rsidRDefault="000B3520" w:rsidP="000B3520">
            <w:pPr>
              <w:ind w:right="-851"/>
              <w:rPr>
                <w:rFonts w:ascii="Arial" w:hAnsi="Arial" w:cs="Arial"/>
              </w:rPr>
            </w:pPr>
          </w:p>
          <w:p w14:paraId="13E97A84" w14:textId="77777777" w:rsidR="000B3520" w:rsidRDefault="000B3520" w:rsidP="000B3520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do 25 % wartości kosztorysowej,</w:t>
            </w:r>
          </w:p>
          <w:p w14:paraId="7F0DC542" w14:textId="77777777" w:rsidR="000B3520" w:rsidRDefault="002E1DE1" w:rsidP="000B3520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nie więcej niż   30</w:t>
            </w:r>
            <w:r w:rsidR="000B3520">
              <w:rPr>
                <w:rFonts w:ascii="Arial" w:hAnsi="Arial" w:cs="Arial"/>
              </w:rPr>
              <w:t>.000 zł</w:t>
            </w:r>
          </w:p>
          <w:p w14:paraId="4E5574BB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</w:tc>
      </w:tr>
      <w:tr w:rsidR="000B3520" w14:paraId="161BF71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C1EE885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38CAFE2C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14:paraId="5E85BF3D" w14:textId="77777777" w:rsidR="000B3520" w:rsidRDefault="000B3520" w:rsidP="000B3520">
            <w:pPr>
              <w:pStyle w:val="Nagwek9"/>
            </w:pPr>
            <w:r>
              <w:t>Modernizację i przebudowę pomieszczeń niemieszkalnych  na lokale mieszkalne</w:t>
            </w:r>
          </w:p>
          <w:p w14:paraId="4C067E85" w14:textId="77777777" w:rsidR="000B3520" w:rsidRDefault="000B3520" w:rsidP="000B3520"/>
        </w:tc>
        <w:tc>
          <w:tcPr>
            <w:tcW w:w="43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0309BB8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53D2AECB" w14:textId="77777777" w:rsidR="000B3520" w:rsidRDefault="000B3520" w:rsidP="000B3520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do 25 % wartości kosztorysowej,</w:t>
            </w:r>
          </w:p>
          <w:p w14:paraId="5488907D" w14:textId="77777777" w:rsidR="000B3520" w:rsidRDefault="000B3520" w:rsidP="002E1DE1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 xml:space="preserve">   nie więcej niż   1</w:t>
            </w:r>
            <w:r w:rsidR="002E1DE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.000 zł</w:t>
            </w:r>
          </w:p>
        </w:tc>
      </w:tr>
      <w:tr w:rsidR="000B3520" w14:paraId="386FB17F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9E2BB24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1A323E1B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5. 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14:paraId="1485461D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57DF71C5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Wykup zajmowanych lokali mieszkalnych na własność</w:t>
            </w:r>
          </w:p>
          <w:p w14:paraId="321C64FD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</w:tc>
        <w:tc>
          <w:tcPr>
            <w:tcW w:w="43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065B1043" w14:textId="77777777" w:rsidR="000B3520" w:rsidRDefault="000B3520" w:rsidP="000B3520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do 50 % wartości mieszkania,</w:t>
            </w:r>
          </w:p>
          <w:p w14:paraId="6E8B7F5A" w14:textId="77777777" w:rsidR="000B3520" w:rsidRDefault="002E1DE1" w:rsidP="000B3520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nie więcej niż   20</w:t>
            </w:r>
            <w:r w:rsidR="000B3520">
              <w:rPr>
                <w:rFonts w:ascii="Arial" w:hAnsi="Arial" w:cs="Arial"/>
              </w:rPr>
              <w:t>.000 zł</w:t>
            </w:r>
          </w:p>
          <w:p w14:paraId="78A1958E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69F35E25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</w:tc>
      </w:tr>
      <w:tr w:rsidR="000B3520" w14:paraId="5423B79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FF918E0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023C04A6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14:paraId="538AFB6B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15DC0AAC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Remont  i modernizacja lokali i budynków</w:t>
            </w:r>
          </w:p>
          <w:p w14:paraId="359227F3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mieszkalnych</w:t>
            </w:r>
          </w:p>
          <w:p w14:paraId="43136959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</w:tc>
        <w:tc>
          <w:tcPr>
            <w:tcW w:w="43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ABD4D87" w14:textId="77777777" w:rsidR="000B3520" w:rsidRDefault="000B3520" w:rsidP="000B3520">
            <w:pPr>
              <w:ind w:left="360" w:right="-851"/>
              <w:rPr>
                <w:rFonts w:ascii="Arial" w:hAnsi="Arial" w:cs="Arial"/>
                <w:sz w:val="22"/>
              </w:rPr>
            </w:pPr>
          </w:p>
          <w:p w14:paraId="2B5417D9" w14:textId="77777777" w:rsidR="000B3520" w:rsidRPr="00DA369D" w:rsidRDefault="000B3520" w:rsidP="002E1DE1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DA369D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1</w:t>
            </w:r>
            <w:r w:rsidR="002E1DE1">
              <w:rPr>
                <w:rFonts w:ascii="Arial" w:hAnsi="Arial" w:cs="Arial"/>
              </w:rPr>
              <w:t>7</w:t>
            </w:r>
            <w:r w:rsidRPr="00DA369D">
              <w:rPr>
                <w:rFonts w:ascii="Arial" w:hAnsi="Arial" w:cs="Arial"/>
              </w:rPr>
              <w:t>.000 zł</w:t>
            </w:r>
          </w:p>
        </w:tc>
      </w:tr>
      <w:tr w:rsidR="000B3520" w14:paraId="1720481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94650C6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1995BBFC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14:paraId="2059765C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231E69A9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Wpłata kaucji wymaganej przy zawarciu umowy</w:t>
            </w:r>
          </w:p>
          <w:p w14:paraId="60C841BF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najmu w Siedleckim Towarzystwie Budownictwa </w:t>
            </w:r>
          </w:p>
          <w:p w14:paraId="7D8F35EB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Społecznego</w:t>
            </w:r>
          </w:p>
          <w:p w14:paraId="7A146A09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</w:tc>
        <w:tc>
          <w:tcPr>
            <w:tcW w:w="43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C34CA3C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103F6074" w14:textId="77777777" w:rsidR="000B3520" w:rsidRPr="00DA369D" w:rsidRDefault="000B3520" w:rsidP="000B3520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  <w:r w:rsidRPr="00DA369D">
              <w:rPr>
                <w:rFonts w:ascii="Arial" w:hAnsi="Arial" w:cs="Arial"/>
              </w:rPr>
              <w:t>do 2</w:t>
            </w:r>
            <w:r w:rsidR="002E1DE1">
              <w:rPr>
                <w:rFonts w:ascii="Arial" w:hAnsi="Arial" w:cs="Arial"/>
              </w:rPr>
              <w:t>5</w:t>
            </w:r>
            <w:r w:rsidRPr="00DA369D">
              <w:rPr>
                <w:rFonts w:ascii="Arial" w:hAnsi="Arial" w:cs="Arial"/>
              </w:rPr>
              <w:t>% kaucji</w:t>
            </w:r>
          </w:p>
          <w:p w14:paraId="6A63F0F8" w14:textId="77777777" w:rsidR="000B3520" w:rsidRDefault="000B3520" w:rsidP="002E1DE1">
            <w:pPr>
              <w:ind w:right="-851"/>
              <w:rPr>
                <w:rFonts w:ascii="Arial" w:hAnsi="Arial" w:cs="Arial"/>
                <w:sz w:val="22"/>
              </w:rPr>
            </w:pPr>
            <w:r w:rsidRPr="00DA369D">
              <w:rPr>
                <w:rFonts w:ascii="Arial" w:hAnsi="Arial" w:cs="Arial"/>
              </w:rPr>
              <w:t xml:space="preserve">  nie więcej niż 2</w:t>
            </w:r>
            <w:r w:rsidR="002E1DE1">
              <w:rPr>
                <w:rFonts w:ascii="Arial" w:hAnsi="Arial" w:cs="Arial"/>
              </w:rPr>
              <w:t>2</w:t>
            </w:r>
            <w:r w:rsidRPr="00DA369D">
              <w:rPr>
                <w:rFonts w:ascii="Arial" w:hAnsi="Arial" w:cs="Arial"/>
              </w:rPr>
              <w:t>.000 zł</w:t>
            </w:r>
          </w:p>
        </w:tc>
      </w:tr>
      <w:tr w:rsidR="000B3520" w14:paraId="50999BE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C7A66B5" w14:textId="77777777" w:rsidR="000C5622" w:rsidRDefault="000C5622" w:rsidP="000B3520">
            <w:pPr>
              <w:ind w:right="-851"/>
              <w:rPr>
                <w:rFonts w:ascii="Arial" w:hAnsi="Arial" w:cs="Arial"/>
                <w:sz w:val="22"/>
              </w:rPr>
            </w:pPr>
          </w:p>
          <w:p w14:paraId="0EC30B1E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  <w:right w:val="thinThickThinSmallGap" w:sz="24" w:space="0" w:color="auto"/>
            </w:tcBorders>
          </w:tcPr>
          <w:p w14:paraId="6B8E3DCF" w14:textId="77777777" w:rsidR="000C5622" w:rsidRDefault="000C5622" w:rsidP="000B3520">
            <w:pPr>
              <w:ind w:right="-851"/>
              <w:rPr>
                <w:rFonts w:ascii="Arial" w:hAnsi="Arial" w:cs="Arial"/>
                <w:sz w:val="22"/>
                <w:szCs w:val="22"/>
              </w:rPr>
            </w:pPr>
          </w:p>
          <w:p w14:paraId="4AE62C14" w14:textId="77777777" w:rsidR="000C5622" w:rsidRDefault="000B3520" w:rsidP="000B3520">
            <w:pPr>
              <w:ind w:right="-851"/>
              <w:rPr>
                <w:rFonts w:ascii="Arial" w:hAnsi="Arial" w:cs="Arial"/>
                <w:sz w:val="22"/>
                <w:szCs w:val="22"/>
              </w:rPr>
            </w:pPr>
            <w:r w:rsidRPr="005B0FCE">
              <w:rPr>
                <w:rFonts w:ascii="Arial" w:hAnsi="Arial" w:cs="Arial"/>
                <w:sz w:val="22"/>
                <w:szCs w:val="22"/>
              </w:rPr>
              <w:t>Spłata kredytu hipotecznego zaciągniętego na</w:t>
            </w:r>
            <w:r w:rsidR="000C56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0FCE">
              <w:rPr>
                <w:rFonts w:ascii="Arial" w:hAnsi="Arial" w:cs="Arial"/>
                <w:sz w:val="22"/>
                <w:szCs w:val="22"/>
              </w:rPr>
              <w:t xml:space="preserve">cele </w:t>
            </w:r>
          </w:p>
          <w:p w14:paraId="7B35DB18" w14:textId="77777777" w:rsidR="000B3520" w:rsidRPr="000C5622" w:rsidRDefault="000B3520" w:rsidP="000B3520">
            <w:pPr>
              <w:ind w:right="-851"/>
              <w:rPr>
                <w:rFonts w:ascii="Arial" w:hAnsi="Arial" w:cs="Arial"/>
                <w:sz w:val="22"/>
                <w:szCs w:val="22"/>
              </w:rPr>
            </w:pPr>
            <w:r w:rsidRPr="005B0FCE">
              <w:rPr>
                <w:rFonts w:ascii="Arial" w:hAnsi="Arial" w:cs="Arial"/>
                <w:sz w:val="22"/>
                <w:szCs w:val="22"/>
              </w:rPr>
              <w:t>określone w pkt 1-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C233422" w14:textId="77777777" w:rsidR="000B3520" w:rsidRPr="00C466F3" w:rsidRDefault="000B3520" w:rsidP="000B3520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</w:t>
            </w:r>
            <w:r w:rsidRPr="00C466F3">
              <w:rPr>
                <w:rFonts w:ascii="Arial" w:hAnsi="Arial" w:cs="Arial"/>
              </w:rPr>
              <w:t xml:space="preserve">do 25 % wartości kosztorysowej lub </w:t>
            </w:r>
          </w:p>
          <w:p w14:paraId="4D93E57A" w14:textId="77777777" w:rsidR="000B3520" w:rsidRPr="00C466F3" w:rsidRDefault="000B3520" w:rsidP="000B3520">
            <w:pPr>
              <w:ind w:right="-851"/>
              <w:rPr>
                <w:rFonts w:ascii="Arial" w:hAnsi="Arial" w:cs="Arial"/>
              </w:rPr>
            </w:pPr>
            <w:r w:rsidRPr="00C466F3">
              <w:rPr>
                <w:rFonts w:ascii="Arial" w:hAnsi="Arial" w:cs="Arial"/>
              </w:rPr>
              <w:t xml:space="preserve">  wartości lokalu mieszkalnego</w:t>
            </w:r>
          </w:p>
          <w:p w14:paraId="3DD74D17" w14:textId="77777777" w:rsidR="000B3520" w:rsidRPr="00C466F3" w:rsidRDefault="000B3520" w:rsidP="000B3520">
            <w:pPr>
              <w:ind w:right="-851"/>
              <w:rPr>
                <w:rFonts w:ascii="Arial" w:hAnsi="Arial" w:cs="Arial"/>
              </w:rPr>
            </w:pPr>
            <w:r w:rsidRPr="00C466F3">
              <w:rPr>
                <w:rFonts w:ascii="Arial" w:hAnsi="Arial" w:cs="Arial"/>
              </w:rPr>
              <w:t xml:space="preserve">  nie więcej niż   4</w:t>
            </w:r>
            <w:r w:rsidR="002E1DE1">
              <w:rPr>
                <w:rFonts w:ascii="Arial" w:hAnsi="Arial" w:cs="Arial"/>
              </w:rPr>
              <w:t>5</w:t>
            </w:r>
            <w:r w:rsidRPr="00C466F3">
              <w:rPr>
                <w:rFonts w:ascii="Arial" w:hAnsi="Arial" w:cs="Arial"/>
              </w:rPr>
              <w:t>.000 zł</w:t>
            </w:r>
          </w:p>
          <w:p w14:paraId="07B5480C" w14:textId="77777777" w:rsidR="000B3520" w:rsidRDefault="000B3520" w:rsidP="000B3520">
            <w:pPr>
              <w:ind w:right="-851"/>
              <w:rPr>
                <w:rFonts w:ascii="Arial" w:hAnsi="Arial" w:cs="Arial"/>
                <w:sz w:val="22"/>
              </w:rPr>
            </w:pPr>
          </w:p>
        </w:tc>
      </w:tr>
    </w:tbl>
    <w:p w14:paraId="2FFF82FA" w14:textId="77777777" w:rsidR="000B3520" w:rsidRDefault="000B3520" w:rsidP="000B3520">
      <w:pPr>
        <w:pStyle w:val="Tekstpodstawowy2"/>
        <w:ind w:left="360"/>
        <w:rPr>
          <w:rFonts w:ascii="Arial" w:hAnsi="Arial" w:cs="Arial"/>
          <w:b/>
          <w:sz w:val="20"/>
        </w:rPr>
      </w:pPr>
    </w:p>
    <w:p w14:paraId="78508D47" w14:textId="77777777" w:rsidR="000B3520" w:rsidRDefault="000B3520" w:rsidP="000B3520">
      <w:pPr>
        <w:pStyle w:val="Tekstpodstawowy2"/>
        <w:ind w:left="360"/>
        <w:rPr>
          <w:rFonts w:ascii="Arial" w:hAnsi="Arial" w:cs="Arial"/>
          <w:b/>
          <w:sz w:val="20"/>
        </w:rPr>
      </w:pPr>
    </w:p>
    <w:p w14:paraId="4548E28A" w14:textId="77777777" w:rsidR="000B3520" w:rsidRDefault="000B3520" w:rsidP="000B3520">
      <w:pPr>
        <w:pStyle w:val="Tekstpodstawowy2"/>
        <w:ind w:left="360"/>
        <w:rPr>
          <w:rFonts w:ascii="Arial" w:hAnsi="Arial" w:cs="Arial"/>
          <w:b/>
          <w:sz w:val="20"/>
        </w:rPr>
      </w:pPr>
    </w:p>
    <w:p w14:paraId="1827AAD1" w14:textId="77777777" w:rsidR="000B3520" w:rsidRDefault="000B3520" w:rsidP="000B3520">
      <w:pPr>
        <w:rPr>
          <w:rFonts w:ascii="Arial" w:hAnsi="Arial" w:cs="Arial"/>
          <w:b/>
          <w:sz w:val="20"/>
        </w:rPr>
      </w:pPr>
    </w:p>
    <w:p w14:paraId="44D0CFDE" w14:textId="77777777" w:rsidR="000B3520" w:rsidRDefault="000B3520" w:rsidP="000B3520">
      <w:pPr>
        <w:rPr>
          <w:rFonts w:ascii="Arial" w:hAnsi="Arial" w:cs="Arial"/>
          <w:b/>
          <w:sz w:val="18"/>
          <w:szCs w:val="18"/>
        </w:rPr>
      </w:pPr>
    </w:p>
    <w:sectPr w:rsidR="000B3520" w:rsidSect="000B352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FA8"/>
    <w:multiLevelType w:val="hybridMultilevel"/>
    <w:tmpl w:val="755A8E16"/>
    <w:lvl w:ilvl="0" w:tplc="EC284384">
      <w:start w:val="1"/>
      <w:numFmt w:val="decimal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" w15:restartNumberingAfterBreak="0">
    <w:nsid w:val="13B715CF"/>
    <w:multiLevelType w:val="singleLevel"/>
    <w:tmpl w:val="994A35C6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</w:abstractNum>
  <w:abstractNum w:abstractNumId="2" w15:restartNumberingAfterBreak="0">
    <w:nsid w:val="25863BCC"/>
    <w:multiLevelType w:val="singleLevel"/>
    <w:tmpl w:val="8BB669B6"/>
    <w:lvl w:ilvl="0">
      <w:start w:val="1"/>
      <w:numFmt w:val="decimal"/>
      <w:lvlText w:val="%1."/>
      <w:lvlJc w:val="left"/>
      <w:pPr>
        <w:tabs>
          <w:tab w:val="num" w:pos="-7"/>
        </w:tabs>
        <w:ind w:left="-7" w:hanging="1410"/>
      </w:pPr>
      <w:rPr>
        <w:rFonts w:hint="default"/>
      </w:rPr>
    </w:lvl>
  </w:abstractNum>
  <w:abstractNum w:abstractNumId="3" w15:restartNumberingAfterBreak="0">
    <w:nsid w:val="26122F13"/>
    <w:multiLevelType w:val="multilevel"/>
    <w:tmpl w:val="AE9409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A582626"/>
    <w:multiLevelType w:val="hybridMultilevel"/>
    <w:tmpl w:val="374E2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21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2073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0B00D1"/>
    <w:multiLevelType w:val="singleLevel"/>
    <w:tmpl w:val="1194D7A0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8" w15:restartNumberingAfterBreak="0">
    <w:nsid w:val="4E346AE9"/>
    <w:multiLevelType w:val="hybridMultilevel"/>
    <w:tmpl w:val="6EF65D7C"/>
    <w:lvl w:ilvl="0" w:tplc="1E32D67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ED2CE8"/>
    <w:multiLevelType w:val="hybridMultilevel"/>
    <w:tmpl w:val="42761CB6"/>
    <w:lvl w:ilvl="0" w:tplc="B5B0A5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3B47CA"/>
    <w:multiLevelType w:val="hybridMultilevel"/>
    <w:tmpl w:val="DB4A4324"/>
    <w:lvl w:ilvl="0" w:tplc="04EEA02A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514C592">
      <w:start w:val="1"/>
      <w:numFmt w:val="decimal"/>
      <w:lvlText w:val="%2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711E4DC5"/>
    <w:multiLevelType w:val="hybridMultilevel"/>
    <w:tmpl w:val="6A52662A"/>
    <w:lvl w:ilvl="0" w:tplc="6158C6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7D7B88"/>
    <w:multiLevelType w:val="hybridMultilevel"/>
    <w:tmpl w:val="5E9E4910"/>
    <w:lvl w:ilvl="0" w:tplc="CB9010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8B5B91"/>
    <w:multiLevelType w:val="hybridMultilevel"/>
    <w:tmpl w:val="1092EFBE"/>
    <w:lvl w:ilvl="0" w:tplc="1E32D67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067846147">
    <w:abstractNumId w:val="5"/>
    <w:lvlOverride w:ilvl="0">
      <w:startOverride w:val="1"/>
    </w:lvlOverride>
  </w:num>
  <w:num w:numId="2" w16cid:durableId="1456218332">
    <w:abstractNumId w:val="2"/>
  </w:num>
  <w:num w:numId="3" w16cid:durableId="1255555059">
    <w:abstractNumId w:val="6"/>
  </w:num>
  <w:num w:numId="4" w16cid:durableId="195435240">
    <w:abstractNumId w:val="1"/>
  </w:num>
  <w:num w:numId="5" w16cid:durableId="2055424449">
    <w:abstractNumId w:val="7"/>
  </w:num>
  <w:num w:numId="6" w16cid:durableId="613102748">
    <w:abstractNumId w:val="10"/>
  </w:num>
  <w:num w:numId="7" w16cid:durableId="242760539">
    <w:abstractNumId w:val="12"/>
  </w:num>
  <w:num w:numId="8" w16cid:durableId="1056048402">
    <w:abstractNumId w:val="9"/>
  </w:num>
  <w:num w:numId="9" w16cid:durableId="850292829">
    <w:abstractNumId w:val="3"/>
  </w:num>
  <w:num w:numId="10" w16cid:durableId="2103261935">
    <w:abstractNumId w:val="0"/>
  </w:num>
  <w:num w:numId="11" w16cid:durableId="439376691">
    <w:abstractNumId w:val="11"/>
  </w:num>
  <w:num w:numId="12" w16cid:durableId="1998529903">
    <w:abstractNumId w:val="4"/>
  </w:num>
  <w:num w:numId="13" w16cid:durableId="1493837266">
    <w:abstractNumId w:val="13"/>
  </w:num>
  <w:num w:numId="14" w16cid:durableId="6238547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20"/>
    <w:rsid w:val="000475F6"/>
    <w:rsid w:val="000B3520"/>
    <w:rsid w:val="000C2B66"/>
    <w:rsid w:val="000C5622"/>
    <w:rsid w:val="000D1CFB"/>
    <w:rsid w:val="0011357E"/>
    <w:rsid w:val="001900CD"/>
    <w:rsid w:val="002E1DE1"/>
    <w:rsid w:val="00341C1A"/>
    <w:rsid w:val="003644E8"/>
    <w:rsid w:val="003871B6"/>
    <w:rsid w:val="003A287D"/>
    <w:rsid w:val="004A7BFA"/>
    <w:rsid w:val="005618C8"/>
    <w:rsid w:val="00654874"/>
    <w:rsid w:val="00813B57"/>
    <w:rsid w:val="00883EA1"/>
    <w:rsid w:val="00896637"/>
    <w:rsid w:val="008A40F9"/>
    <w:rsid w:val="00B068B4"/>
    <w:rsid w:val="00BC5724"/>
    <w:rsid w:val="00BF1CB8"/>
    <w:rsid w:val="00C376BC"/>
    <w:rsid w:val="00C56E14"/>
    <w:rsid w:val="00DB6F12"/>
    <w:rsid w:val="00E5727D"/>
    <w:rsid w:val="00E821D5"/>
    <w:rsid w:val="00E84346"/>
    <w:rsid w:val="00E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5E563"/>
  <w15:chartTrackingRefBased/>
  <w15:docId w15:val="{45AA1340-0E41-4587-9D69-CC9077B9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3520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B3520"/>
    <w:pPr>
      <w:keepNext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0B35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B35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B35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B3520"/>
    <w:pPr>
      <w:keepNext/>
      <w:jc w:val="center"/>
      <w:outlineLvl w:val="5"/>
    </w:pPr>
    <w:rPr>
      <w:rFonts w:ascii="Arial" w:hAnsi="Arial" w:cs="Arial"/>
      <w:b/>
      <w:sz w:val="22"/>
      <w:szCs w:val="22"/>
    </w:rPr>
  </w:style>
  <w:style w:type="paragraph" w:styleId="Nagwek7">
    <w:name w:val="heading 7"/>
    <w:basedOn w:val="Normalny"/>
    <w:next w:val="Normalny"/>
    <w:qFormat/>
    <w:rsid w:val="000B3520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0B352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0B35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3">
    <w:name w:val="Body Text 3"/>
    <w:basedOn w:val="Normalny"/>
    <w:rsid w:val="000B3520"/>
    <w:pPr>
      <w:ind w:right="-1"/>
      <w:jc w:val="both"/>
    </w:pPr>
    <w:rPr>
      <w:rFonts w:ascii="Arial" w:hAnsi="Arial" w:cs="Arial"/>
      <w:sz w:val="20"/>
    </w:rPr>
  </w:style>
  <w:style w:type="paragraph" w:styleId="Tekstpodstawowy2">
    <w:name w:val="Body Text 2"/>
    <w:basedOn w:val="Normalny"/>
    <w:rsid w:val="000B3520"/>
    <w:pPr>
      <w:spacing w:after="120" w:line="480" w:lineRule="auto"/>
    </w:pPr>
  </w:style>
  <w:style w:type="paragraph" w:styleId="Tekstpodstawowywcity3">
    <w:name w:val="Body Text Indent 3"/>
    <w:basedOn w:val="Normalny"/>
    <w:rsid w:val="000B3520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0B3520"/>
    <w:pPr>
      <w:spacing w:after="120"/>
      <w:ind w:left="283"/>
    </w:pPr>
  </w:style>
  <w:style w:type="paragraph" w:styleId="Legenda">
    <w:name w:val="caption"/>
    <w:basedOn w:val="Normalny"/>
    <w:next w:val="Normalny"/>
    <w:qFormat/>
    <w:rsid w:val="000B3520"/>
    <w:pPr>
      <w:ind w:right="-851"/>
    </w:pPr>
    <w:rPr>
      <w:szCs w:val="20"/>
    </w:rPr>
  </w:style>
  <w:style w:type="paragraph" w:styleId="Tekstpodstawowy">
    <w:name w:val="Body Text"/>
    <w:basedOn w:val="Normalny"/>
    <w:rsid w:val="000B3520"/>
    <w:pPr>
      <w:spacing w:after="120"/>
    </w:pPr>
  </w:style>
  <w:style w:type="paragraph" w:styleId="Tekstpodstawowywcity2">
    <w:name w:val="Body Text Indent 2"/>
    <w:basedOn w:val="Normalny"/>
    <w:rsid w:val="000B3520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cp:lastModifiedBy>Darek Szulhaniuk</cp:lastModifiedBy>
  <cp:revision>2</cp:revision>
  <cp:lastPrinted>2022-05-31T07:55:00Z</cp:lastPrinted>
  <dcterms:created xsi:type="dcterms:W3CDTF">2022-05-31T07:56:00Z</dcterms:created>
  <dcterms:modified xsi:type="dcterms:W3CDTF">2022-05-31T07:56:00Z</dcterms:modified>
</cp:coreProperties>
</file>